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D4243" w14:textId="77777777" w:rsidR="00597E16" w:rsidRPr="00A668DE" w:rsidRDefault="00597E16" w:rsidP="00A668DE">
      <w:pPr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6053958"/>
      <w:r w:rsidRPr="00442974">
        <w:rPr>
          <w:rFonts w:ascii="Times New Roman" w:hAnsi="Times New Roman" w:cs="Times New Roman"/>
          <w:sz w:val="24"/>
          <w:szCs w:val="24"/>
        </w:rPr>
        <w:t xml:space="preserve">Total nitrogen (N) content of the samples was determined by the Kjeldahl method, using a VEPL DK 6 Heating Digester (VELP </w:t>
      </w:r>
      <w:proofErr w:type="spellStart"/>
      <w:r w:rsidRPr="00442974">
        <w:rPr>
          <w:rFonts w:ascii="Times New Roman" w:hAnsi="Times New Roman" w:cs="Times New Roman"/>
          <w:sz w:val="24"/>
          <w:szCs w:val="24"/>
        </w:rPr>
        <w:t>Scientifica</w:t>
      </w:r>
      <w:proofErr w:type="spellEnd"/>
      <w:r w:rsidRPr="00442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2974">
        <w:rPr>
          <w:rFonts w:ascii="Times New Roman" w:hAnsi="Times New Roman" w:cs="Times New Roman"/>
          <w:sz w:val="24"/>
          <w:szCs w:val="24"/>
        </w:rPr>
        <w:t>Usmate</w:t>
      </w:r>
      <w:proofErr w:type="spellEnd"/>
      <w:r w:rsidRPr="00442974">
        <w:rPr>
          <w:rFonts w:ascii="Times New Roman" w:hAnsi="Times New Roman" w:cs="Times New Roman"/>
          <w:sz w:val="24"/>
          <w:szCs w:val="24"/>
        </w:rPr>
        <w:t xml:space="preserve">, Italy) and a semi-automatic distillation unit UDK 132 (VELP </w:t>
      </w:r>
      <w:proofErr w:type="spellStart"/>
      <w:r w:rsidRPr="00442974">
        <w:rPr>
          <w:rFonts w:ascii="Times New Roman" w:hAnsi="Times New Roman" w:cs="Times New Roman"/>
          <w:sz w:val="24"/>
          <w:szCs w:val="24"/>
        </w:rPr>
        <w:t>Scientifica</w:t>
      </w:r>
      <w:proofErr w:type="spellEnd"/>
      <w:r w:rsidRPr="00442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42974">
        <w:rPr>
          <w:rFonts w:ascii="Times New Roman" w:hAnsi="Times New Roman" w:cs="Times New Roman"/>
          <w:sz w:val="24"/>
          <w:szCs w:val="24"/>
        </w:rPr>
        <w:t>Usmate</w:t>
      </w:r>
      <w:proofErr w:type="spellEnd"/>
      <w:r w:rsidRPr="00442974">
        <w:rPr>
          <w:rFonts w:ascii="Times New Roman" w:hAnsi="Times New Roman" w:cs="Times New Roman"/>
          <w:sz w:val="24"/>
          <w:szCs w:val="24"/>
        </w:rPr>
        <w:t>, Italy), while the crude protein was calculated from the multiplication of N by 6.25. Crude fat was determined by the Soxhlet method, using an ANKOM XT15 extractor (ANKOM Technology, Macedon NY, USA). Crude fibre was determined by the Henneberg-</w:t>
      </w:r>
      <w:proofErr w:type="spellStart"/>
      <w:r w:rsidRPr="00442974">
        <w:rPr>
          <w:rFonts w:ascii="Times New Roman" w:hAnsi="Times New Roman" w:cs="Times New Roman"/>
          <w:sz w:val="24"/>
          <w:szCs w:val="24"/>
        </w:rPr>
        <w:t>Stohmann</w:t>
      </w:r>
      <w:proofErr w:type="spellEnd"/>
      <w:r w:rsidRPr="00442974">
        <w:rPr>
          <w:rFonts w:ascii="Times New Roman" w:hAnsi="Times New Roman" w:cs="Times New Roman"/>
          <w:sz w:val="24"/>
          <w:szCs w:val="24"/>
        </w:rPr>
        <w:t xml:space="preserve"> method, with an ANKOM 2000 automatic fibre analyser (ANKOM Technology, Macedon, NY, USA), and ash was determined by combustion in a SNOL 8.2 / 1100 muffle furnace at 600°C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(AOAC, 2020)</w:t>
      </w:r>
      <w:r w:rsidRPr="00442974">
        <w:rPr>
          <w:rFonts w:ascii="Times New Roman" w:hAnsi="Times New Roman" w:cs="Times New Roman"/>
          <w:sz w:val="24"/>
          <w:szCs w:val="24"/>
        </w:rPr>
        <w:t>.</w:t>
      </w:r>
    </w:p>
    <w:p w14:paraId="7E53E837" w14:textId="77777777" w:rsidR="004151E0" w:rsidRDefault="004151E0" w:rsidP="004151E0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Following a documented procedure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(Zaguła</w:t>
      </w:r>
      <w:r w:rsidRPr="002B702F">
        <w:rPr>
          <w:rFonts w:ascii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AD70F9">
        <w:rPr>
          <w:rFonts w:ascii="Times New Roman" w:hAnsi="Times New Roman" w:cs="Times New Roman"/>
          <w:iCs/>
          <w:noProof/>
          <w:sz w:val="24"/>
          <w:szCs w:val="24"/>
        </w:rPr>
        <w:t>et al</w:t>
      </w:r>
      <w:r w:rsidRPr="0077305B">
        <w:rPr>
          <w:rFonts w:ascii="Times New Roman" w:hAnsi="Times New Roman" w:cs="Times New Roman"/>
          <w:i/>
          <w:noProof/>
          <w:sz w:val="24"/>
          <w:szCs w:val="24"/>
        </w:rPr>
        <w:t>.</w:t>
      </w:r>
      <w:r>
        <w:rPr>
          <w:rFonts w:ascii="Times New Roman" w:hAnsi="Times New Roman" w:cs="Times New Roman"/>
          <w:iCs/>
          <w:noProof/>
          <w:sz w:val="24"/>
          <w:szCs w:val="24"/>
        </w:rPr>
        <w:t>,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2017)</w:t>
      </w:r>
      <w:r>
        <w:rPr>
          <w:rFonts w:ascii="Times New Roman" w:hAnsi="Times New Roman" w:cs="Times New Roman"/>
          <w:sz w:val="24"/>
          <w:szCs w:val="24"/>
          <w:lang w:val="en-US"/>
        </w:rPr>
        <w:t>, we determined t</w:t>
      </w:r>
      <w:r w:rsidRPr="00E965F1">
        <w:rPr>
          <w:rFonts w:ascii="Times New Roman" w:hAnsi="Times New Roman" w:cs="Times New Roman"/>
          <w:sz w:val="24"/>
          <w:szCs w:val="24"/>
          <w:lang w:val="en-US"/>
        </w:rPr>
        <w:t xml:space="preserve">he composition of chemical elements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 the herbaceous forages and </w:t>
      </w:r>
      <w:r w:rsidRPr="00723B54">
        <w:rPr>
          <w:rFonts w:ascii="Times New Roman" w:hAnsi="Times New Roman" w:cs="Times New Roman"/>
          <w:sz w:val="24"/>
          <w:szCs w:val="24"/>
        </w:rPr>
        <w:t>arboreal forage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(tree leaves and twigs) with</w:t>
      </w:r>
      <w:r w:rsidRPr="00E965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74A7C"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Pr="00E965F1">
        <w:rPr>
          <w:rFonts w:ascii="Times New Roman" w:hAnsi="Times New Roman" w:cs="Times New Roman"/>
          <w:sz w:val="24"/>
          <w:szCs w:val="24"/>
          <w:lang w:val="en-US"/>
        </w:rPr>
        <w:t xml:space="preserve">ICP-OES spectrometer (Schaumburg, IL, USA), </w:t>
      </w:r>
      <w:proofErr w:type="spellStart"/>
      <w:r w:rsidRPr="00E965F1">
        <w:rPr>
          <w:rFonts w:ascii="Times New Roman" w:hAnsi="Times New Roman" w:cs="Times New Roman"/>
          <w:sz w:val="24"/>
          <w:szCs w:val="24"/>
          <w:lang w:val="en-US"/>
        </w:rPr>
        <w:t>Thermo</w:t>
      </w:r>
      <w:proofErr w:type="spellEnd"/>
      <w:r w:rsidRPr="00E965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65F1">
        <w:rPr>
          <w:rFonts w:ascii="Times New Roman" w:hAnsi="Times New Roman" w:cs="Times New Roman"/>
          <w:sz w:val="24"/>
          <w:szCs w:val="24"/>
          <w:lang w:val="en-US"/>
        </w:rPr>
        <w:t>iCAP</w:t>
      </w:r>
      <w:proofErr w:type="spellEnd"/>
      <w:r w:rsidRPr="00E965F1">
        <w:rPr>
          <w:rFonts w:ascii="Times New Roman" w:hAnsi="Times New Roman" w:cs="Times New Roman"/>
          <w:sz w:val="24"/>
          <w:szCs w:val="24"/>
          <w:lang w:val="en-US"/>
        </w:rPr>
        <w:t xml:space="preserve"> Dual 6500 with horizontal plasma, and capacity for detection along and across the plasma flame (radial and axial). </w:t>
      </w:r>
      <w:r w:rsidRPr="001432C3">
        <w:rPr>
          <w:rFonts w:ascii="Times New Roman" w:hAnsi="Times New Roman" w:cs="Times New Roman"/>
          <w:sz w:val="24"/>
          <w:szCs w:val="24"/>
        </w:rPr>
        <w:t>Each sample was digested in 65% extra pure nitric acid (Merck) under high pressure microwave digestion system (</w:t>
      </w:r>
      <w:proofErr w:type="spellStart"/>
      <w:r w:rsidRPr="001432C3">
        <w:rPr>
          <w:rFonts w:ascii="Times New Roman" w:hAnsi="Times New Roman" w:cs="Times New Roman"/>
          <w:sz w:val="24"/>
          <w:szCs w:val="24"/>
        </w:rPr>
        <w:t>MIllestone</w:t>
      </w:r>
      <w:proofErr w:type="spellEnd"/>
      <w:r w:rsidRPr="001432C3">
        <w:rPr>
          <w:rFonts w:ascii="Times New Roman" w:hAnsi="Times New Roman" w:cs="Times New Roman"/>
          <w:sz w:val="24"/>
          <w:szCs w:val="24"/>
        </w:rPr>
        <w:t>, Ethos One, Italy). Each time, 0.2 g of each sample was put in each digestion vessel and filled up with 8 mL of the nitric acid as a reagent. The same procedure was used with a blank sample (acid and water clean control procedure). After digestion procedure, each sample vessel was filled up to 50 mL with deionized water (&lt;0,05 µS cm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</w:rPr>
        <w:t>). The threshold of detection for each element was &gt;0.01 mg kg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</w:rPr>
        <w:t xml:space="preserve"> (spectrometer detection capacity was over 1 µg L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</w:rPr>
        <w:t>). Calibration curves were created in two concentration variants (i.e., 10000 mg L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</w:rPr>
        <w:t xml:space="preserve"> for Ca, Fe, Mg, K, P and 1000 mg L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</w:rPr>
        <w:t xml:space="preserve"> for Al, Mn, S, Sr, Zn) using certified Merck models. </w:t>
      </w:r>
      <w:r w:rsidRPr="001432C3">
        <w:rPr>
          <w:rFonts w:ascii="Times New Roman" w:hAnsi="Times New Roman" w:cs="Times New Roman"/>
          <w:sz w:val="24"/>
          <w:szCs w:val="24"/>
          <w:lang w:val="en-US"/>
        </w:rPr>
        <w:t>In each case, we used a three-point calibration curve for each assessed element, with optical adjustment applying the method of internal models, in the form of yttrium and ytterbium ions, at 2 mg L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  <w:lang w:val="en-US"/>
        </w:rPr>
        <w:t xml:space="preserve"> and 5 mg L</w:t>
      </w:r>
      <w:r w:rsidRPr="001432C3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1432C3">
        <w:rPr>
          <w:rFonts w:ascii="Times New Roman" w:hAnsi="Times New Roman" w:cs="Times New Roman"/>
          <w:sz w:val="24"/>
          <w:szCs w:val="24"/>
          <w:lang w:val="en-US"/>
        </w:rPr>
        <w:t xml:space="preserve"> concentrations, respectively. We used two independent tests and Certified Reference Materials </w:t>
      </w:r>
      <w:r w:rsidRPr="001432C3">
        <w:rPr>
          <w:rFonts w:ascii="Times New Roman" w:hAnsi="Times New Roman" w:cs="Times New Roman"/>
          <w:sz w:val="24"/>
          <w:szCs w:val="24"/>
          <w:lang w:val="en-US"/>
        </w:rPr>
        <w:lastRenderedPageBreak/>
        <w:t>(INCT-TL-1 and NIES CRM No. 7 Tea Leaves) were used to validate the analytical methods, while the recovery obtained for each of the elements is presented in Table S1. Finally, the method of adding a model with known concentration was used to identify the relevant measurement lines and prevent potential interferences (Environmental analysis, Method 200.7, US EPA, Drinking water)</w:t>
      </w:r>
      <w:r w:rsidRPr="001432C3">
        <w:rPr>
          <w:rFonts w:ascii="Times New Roman" w:hAnsi="Times New Roman" w:cs="Times New Roman"/>
          <w:sz w:val="24"/>
          <w:szCs w:val="24"/>
        </w:rPr>
        <w:t>.</w:t>
      </w:r>
    </w:p>
    <w:p w14:paraId="574F0BA2" w14:textId="1A4A3BAE" w:rsidR="0055134D" w:rsidRDefault="0055134D" w:rsidP="0055134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7FC7F" w14:textId="77777777" w:rsidR="0055134D" w:rsidRDefault="0055134D" w:rsidP="005513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0E8">
        <w:rPr>
          <w:rFonts w:ascii="Times New Roman" w:hAnsi="Times New Roman" w:cs="Times New Roman"/>
          <w:sz w:val="24"/>
          <w:szCs w:val="24"/>
        </w:rPr>
        <w:t xml:space="preserve">Table S1: The lengths of measurement lines and the recovery obtained for </w:t>
      </w:r>
      <w:r>
        <w:rPr>
          <w:rFonts w:ascii="Times New Roman" w:hAnsi="Times New Roman" w:cs="Times New Roman"/>
          <w:sz w:val="24"/>
          <w:szCs w:val="24"/>
        </w:rPr>
        <w:t>each</w:t>
      </w:r>
      <w:r w:rsidRPr="004030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mineral element</w:t>
      </w:r>
    </w:p>
    <w:tbl>
      <w:tblPr>
        <w:tblW w:w="65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559"/>
        <w:gridCol w:w="1843"/>
        <w:gridCol w:w="1843"/>
      </w:tblGrid>
      <w:tr w:rsidR="003D4894" w:rsidRPr="003D4894" w14:paraId="355F3729" w14:textId="77777777" w:rsidTr="003D4894">
        <w:trPr>
          <w:trHeight w:val="1300"/>
          <w:jc w:val="center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2D55F4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bCs/>
                <w:color w:val="000000"/>
              </w:rPr>
              <w:t>Element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475526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bCs/>
                <w:color w:val="000000"/>
              </w:rPr>
              <w:t>Measurement Line, nm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A4EAD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bCs/>
                <w:color w:val="000000"/>
              </w:rPr>
              <w:t>Recovery According to CRM, 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C8FB58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D4894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Recovery According to Known Addition Method, %</w:t>
            </w:r>
          </w:p>
        </w:tc>
      </w:tr>
      <w:tr w:rsidR="003D4894" w:rsidRPr="003D4894" w14:paraId="27299071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3F1B8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CE0CE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167.079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92B30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A76B9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D4894" w:rsidRPr="003D4894" w14:paraId="70FDBB20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714D9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77B7C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317.933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915CC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5F891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3D4894" w:rsidRPr="003D4894" w14:paraId="31CEE22B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09C68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D1D45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259.490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8B197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1B950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3D4894" w:rsidRPr="003D4894" w14:paraId="3E4A0AF9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7569F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30B25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766.490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DF6E2D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25EC2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3D4894" w:rsidRPr="003D4894" w14:paraId="3A5088E7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3CBC6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Mg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D322F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279.533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B2B51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967D1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3D4894" w:rsidRPr="003D4894" w14:paraId="74011EC4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0E6CD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31AFE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257.610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57EC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C9D72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D4894" w:rsidRPr="003D4894" w14:paraId="19C0917E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6306C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9CBE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177.495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5E203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C87C0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</w:tr>
      <w:tr w:rsidR="003D4894" w:rsidRPr="003D4894" w14:paraId="3DD13924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A3FDB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06710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180.731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E94A0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8805D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D4894" w:rsidRPr="003D4894" w14:paraId="3D0D1EB7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9ED40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F7B8E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407.771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3BF1D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7B525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  <w:tr w:rsidR="003D4894" w:rsidRPr="003D4894" w14:paraId="473FC00E" w14:textId="77777777" w:rsidTr="003D4894">
        <w:trPr>
          <w:trHeight w:val="31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016E4" w14:textId="77777777" w:rsidR="003D4894" w:rsidRPr="003D4894" w:rsidRDefault="003D4894" w:rsidP="003D48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5AFC72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213.856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939686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028F49" w14:textId="77777777" w:rsidR="003D4894" w:rsidRPr="003D4894" w:rsidRDefault="003D4894" w:rsidP="003D48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 w:rsidRPr="003D4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</w:tr>
    </w:tbl>
    <w:p w14:paraId="7880AA9A" w14:textId="77777777" w:rsidR="003D4894" w:rsidRDefault="003D4894" w:rsidP="005513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07A07" w14:textId="77777777" w:rsidR="00830E4F" w:rsidRDefault="00830E4F" w:rsidP="00830E4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5DEC55" w14:textId="77777777" w:rsidR="00830E4F" w:rsidRPr="00416551" w:rsidRDefault="00830E4F" w:rsidP="00830E4F">
      <w:pPr>
        <w:pStyle w:val="MDPI71References"/>
        <w:numPr>
          <w:ilvl w:val="0"/>
          <w:numId w:val="0"/>
        </w:numPr>
        <w:ind w:left="425" w:hanging="425"/>
        <w:rPr>
          <w:lang w:val="en-GB"/>
        </w:rPr>
      </w:pPr>
      <w:proofErr w:type="spellStart"/>
      <w:r w:rsidRPr="00416551">
        <w:rPr>
          <w:lang w:val="en-GB"/>
        </w:rPr>
        <w:t>Zaguła</w:t>
      </w:r>
      <w:proofErr w:type="spellEnd"/>
      <w:r w:rsidRPr="00416551">
        <w:rPr>
          <w:lang w:val="en-GB"/>
        </w:rPr>
        <w:t xml:space="preserve">, G.; </w:t>
      </w:r>
      <w:proofErr w:type="spellStart"/>
      <w:r w:rsidRPr="00416551">
        <w:rPr>
          <w:lang w:val="en-GB"/>
        </w:rPr>
        <w:t>Zardzewiały</w:t>
      </w:r>
      <w:proofErr w:type="spellEnd"/>
      <w:r w:rsidRPr="00416551">
        <w:rPr>
          <w:lang w:val="en-GB"/>
        </w:rPr>
        <w:t xml:space="preserve">, M.; Saletnik, B.; </w:t>
      </w:r>
      <w:proofErr w:type="spellStart"/>
      <w:r w:rsidRPr="00416551">
        <w:rPr>
          <w:lang w:val="en-GB"/>
        </w:rPr>
        <w:t>Bajcar</w:t>
      </w:r>
      <w:proofErr w:type="spellEnd"/>
      <w:r w:rsidRPr="00416551">
        <w:rPr>
          <w:lang w:val="en-GB"/>
        </w:rPr>
        <w:t xml:space="preserve">, M.; </w:t>
      </w:r>
      <w:proofErr w:type="spellStart"/>
      <w:r w:rsidRPr="00416551">
        <w:rPr>
          <w:lang w:val="en-GB"/>
        </w:rPr>
        <w:t>Czernicka</w:t>
      </w:r>
      <w:proofErr w:type="spellEnd"/>
      <w:r w:rsidRPr="00416551">
        <w:rPr>
          <w:lang w:val="en-GB"/>
        </w:rPr>
        <w:t>, M.; Grabek-</w:t>
      </w:r>
      <w:proofErr w:type="spellStart"/>
      <w:r w:rsidRPr="00416551">
        <w:rPr>
          <w:lang w:val="en-GB"/>
        </w:rPr>
        <w:t>Lejko</w:t>
      </w:r>
      <w:proofErr w:type="spellEnd"/>
      <w:r w:rsidRPr="00416551">
        <w:rPr>
          <w:lang w:val="en-GB"/>
        </w:rPr>
        <w:t xml:space="preserve">, D.; Kasprzyk, I.; Puchalski, C. Effects of fertiliser use and pre-sowing seed stimulation with a magnetic field on the mineral content and yield of three varieties of sugar beet roots. </w:t>
      </w:r>
      <w:r w:rsidRPr="00416551">
        <w:rPr>
          <w:i/>
          <w:iCs/>
          <w:lang w:val="en-GB"/>
        </w:rPr>
        <w:t xml:space="preserve">Journal of </w:t>
      </w:r>
      <w:proofErr w:type="spellStart"/>
      <w:r w:rsidRPr="00416551">
        <w:rPr>
          <w:i/>
          <w:iCs/>
          <w:lang w:val="en-GB"/>
        </w:rPr>
        <w:t>Elementology</w:t>
      </w:r>
      <w:proofErr w:type="spellEnd"/>
      <w:r w:rsidRPr="00416551">
        <w:rPr>
          <w:lang w:val="en-GB"/>
        </w:rPr>
        <w:t xml:space="preserve"> </w:t>
      </w:r>
      <w:r w:rsidRPr="00416551">
        <w:rPr>
          <w:b/>
          <w:bCs/>
          <w:lang w:val="en-GB"/>
        </w:rPr>
        <w:t>2017</w:t>
      </w:r>
      <w:r w:rsidRPr="00416551">
        <w:rPr>
          <w:lang w:val="en-GB"/>
        </w:rPr>
        <w:t xml:space="preserve">, 22(4), 1401-1414. DOI: 1410.5601/jelem.2017.1422.1401.1361 </w:t>
      </w:r>
      <w:bookmarkEnd w:id="0"/>
    </w:p>
    <w:sectPr w:rsidR="00830E4F" w:rsidRPr="00416551" w:rsidSect="00AD70F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0283" w14:textId="77777777" w:rsidR="007E5431" w:rsidRDefault="007E5431">
      <w:r>
        <w:separator/>
      </w:r>
    </w:p>
  </w:endnote>
  <w:endnote w:type="continuationSeparator" w:id="0">
    <w:p w14:paraId="095503A9" w14:textId="77777777" w:rsidR="007E5431" w:rsidRDefault="007E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E583" w14:textId="77777777" w:rsidR="00000000" w:rsidRDefault="004F1C2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069EBAD2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2AB6" w14:textId="77777777" w:rsidR="007E5431" w:rsidRDefault="007E5431">
      <w:r>
        <w:separator/>
      </w:r>
    </w:p>
  </w:footnote>
  <w:footnote w:type="continuationSeparator" w:id="0">
    <w:p w14:paraId="1728F545" w14:textId="77777777" w:rsidR="007E5431" w:rsidRDefault="007E5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66E30"/>
    <w:multiLevelType w:val="hybridMultilevel"/>
    <w:tmpl w:val="D5CC7AAA"/>
    <w:lvl w:ilvl="0" w:tplc="4B440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47C3A"/>
    <w:multiLevelType w:val="hybridMultilevel"/>
    <w:tmpl w:val="4A006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26E19"/>
    <w:multiLevelType w:val="hybridMultilevel"/>
    <w:tmpl w:val="CC1A9B96"/>
    <w:lvl w:ilvl="0" w:tplc="DF30D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D4291"/>
    <w:multiLevelType w:val="multilevel"/>
    <w:tmpl w:val="DA406F64"/>
    <w:lvl w:ilvl="0">
      <w:start w:val="2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5" w15:restartNumberingAfterBreak="0">
    <w:nsid w:val="39B76FCD"/>
    <w:multiLevelType w:val="multilevel"/>
    <w:tmpl w:val="A55895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6436B3"/>
    <w:multiLevelType w:val="multilevel"/>
    <w:tmpl w:val="77C8B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1AF7329"/>
    <w:multiLevelType w:val="hybridMultilevel"/>
    <w:tmpl w:val="8C16C276"/>
    <w:lvl w:ilvl="0" w:tplc="54AEEA8C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0369C"/>
    <w:multiLevelType w:val="multilevel"/>
    <w:tmpl w:val="68026D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7F0B9C"/>
    <w:multiLevelType w:val="hybridMultilevel"/>
    <w:tmpl w:val="23F0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10355C"/>
    <w:multiLevelType w:val="hybridMultilevel"/>
    <w:tmpl w:val="C0C85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B3680"/>
    <w:multiLevelType w:val="multilevel"/>
    <w:tmpl w:val="1C6264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73E5EC1"/>
    <w:multiLevelType w:val="multilevel"/>
    <w:tmpl w:val="AA806C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00762065">
    <w:abstractNumId w:val="12"/>
  </w:num>
  <w:num w:numId="2" w16cid:durableId="1660301497">
    <w:abstractNumId w:val="6"/>
  </w:num>
  <w:num w:numId="3" w16cid:durableId="1637055762">
    <w:abstractNumId w:val="8"/>
  </w:num>
  <w:num w:numId="4" w16cid:durableId="1598319849">
    <w:abstractNumId w:val="11"/>
  </w:num>
  <w:num w:numId="5" w16cid:durableId="2126920264">
    <w:abstractNumId w:val="5"/>
  </w:num>
  <w:num w:numId="6" w16cid:durableId="198400018">
    <w:abstractNumId w:val="4"/>
  </w:num>
  <w:num w:numId="7" w16cid:durableId="2067365446">
    <w:abstractNumId w:val="10"/>
  </w:num>
  <w:num w:numId="8" w16cid:durableId="453982268">
    <w:abstractNumId w:val="1"/>
  </w:num>
  <w:num w:numId="9" w16cid:durableId="205802299">
    <w:abstractNumId w:val="3"/>
  </w:num>
  <w:num w:numId="10" w16cid:durableId="1396857332">
    <w:abstractNumId w:val="0"/>
  </w:num>
  <w:num w:numId="11" w16cid:durableId="1103106594">
    <w:abstractNumId w:val="9"/>
  </w:num>
  <w:num w:numId="12" w16cid:durableId="1171750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43034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zNjQ3sbSwNLY0NTNU0lEKTi0uzszPAymwqAUAUeEKc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0715A0"/>
    <w:rsid w:val="00001534"/>
    <w:rsid w:val="00001680"/>
    <w:rsid w:val="00005A35"/>
    <w:rsid w:val="0000703F"/>
    <w:rsid w:val="000273EA"/>
    <w:rsid w:val="00037526"/>
    <w:rsid w:val="000469B9"/>
    <w:rsid w:val="000523A1"/>
    <w:rsid w:val="00052B14"/>
    <w:rsid w:val="00057E32"/>
    <w:rsid w:val="000715A0"/>
    <w:rsid w:val="00071D9B"/>
    <w:rsid w:val="000838FA"/>
    <w:rsid w:val="0008741E"/>
    <w:rsid w:val="00092A01"/>
    <w:rsid w:val="000A1463"/>
    <w:rsid w:val="000B0907"/>
    <w:rsid w:val="000B2E4B"/>
    <w:rsid w:val="000C1CD7"/>
    <w:rsid w:val="000C4F19"/>
    <w:rsid w:val="000C4FAC"/>
    <w:rsid w:val="000D3C70"/>
    <w:rsid w:val="000E1BC0"/>
    <w:rsid w:val="000E40AD"/>
    <w:rsid w:val="000E6844"/>
    <w:rsid w:val="000F621F"/>
    <w:rsid w:val="00100956"/>
    <w:rsid w:val="00123AC5"/>
    <w:rsid w:val="00132265"/>
    <w:rsid w:val="00141939"/>
    <w:rsid w:val="001432C3"/>
    <w:rsid w:val="00144171"/>
    <w:rsid w:val="00150862"/>
    <w:rsid w:val="00154AB5"/>
    <w:rsid w:val="00181EF0"/>
    <w:rsid w:val="00190C10"/>
    <w:rsid w:val="00192883"/>
    <w:rsid w:val="00192B72"/>
    <w:rsid w:val="001A15A3"/>
    <w:rsid w:val="001A513A"/>
    <w:rsid w:val="001C23BA"/>
    <w:rsid w:val="001D7110"/>
    <w:rsid w:val="001E0C7A"/>
    <w:rsid w:val="001E1F99"/>
    <w:rsid w:val="001F2809"/>
    <w:rsid w:val="001F380E"/>
    <w:rsid w:val="001F78DA"/>
    <w:rsid w:val="00202BA7"/>
    <w:rsid w:val="00206A3A"/>
    <w:rsid w:val="00207052"/>
    <w:rsid w:val="00210F73"/>
    <w:rsid w:val="002157A2"/>
    <w:rsid w:val="002215E9"/>
    <w:rsid w:val="00226729"/>
    <w:rsid w:val="00231EDF"/>
    <w:rsid w:val="002471D9"/>
    <w:rsid w:val="00251519"/>
    <w:rsid w:val="00264FD1"/>
    <w:rsid w:val="00267411"/>
    <w:rsid w:val="002832A1"/>
    <w:rsid w:val="002848B3"/>
    <w:rsid w:val="00291038"/>
    <w:rsid w:val="002B3815"/>
    <w:rsid w:val="002B4F63"/>
    <w:rsid w:val="002C45EB"/>
    <w:rsid w:val="002D2B4F"/>
    <w:rsid w:val="002D53F2"/>
    <w:rsid w:val="002E2F72"/>
    <w:rsid w:val="002E4260"/>
    <w:rsid w:val="002F2290"/>
    <w:rsid w:val="002F5BE0"/>
    <w:rsid w:val="00310278"/>
    <w:rsid w:val="00310715"/>
    <w:rsid w:val="00320AB1"/>
    <w:rsid w:val="00325B7D"/>
    <w:rsid w:val="00326EFB"/>
    <w:rsid w:val="00333C5D"/>
    <w:rsid w:val="0035476E"/>
    <w:rsid w:val="003575CF"/>
    <w:rsid w:val="0037181A"/>
    <w:rsid w:val="00380F4E"/>
    <w:rsid w:val="003819D9"/>
    <w:rsid w:val="00391655"/>
    <w:rsid w:val="003948E4"/>
    <w:rsid w:val="003A2D27"/>
    <w:rsid w:val="003C42C7"/>
    <w:rsid w:val="003D194D"/>
    <w:rsid w:val="003D1F80"/>
    <w:rsid w:val="003D4894"/>
    <w:rsid w:val="003E6017"/>
    <w:rsid w:val="003E6B42"/>
    <w:rsid w:val="003F3E87"/>
    <w:rsid w:val="00404BD0"/>
    <w:rsid w:val="00406256"/>
    <w:rsid w:val="0040736B"/>
    <w:rsid w:val="004131DC"/>
    <w:rsid w:val="004151E0"/>
    <w:rsid w:val="00425E3C"/>
    <w:rsid w:val="00426EDE"/>
    <w:rsid w:val="00432EDF"/>
    <w:rsid w:val="004549A2"/>
    <w:rsid w:val="00460E85"/>
    <w:rsid w:val="00465CC3"/>
    <w:rsid w:val="00481066"/>
    <w:rsid w:val="00485D75"/>
    <w:rsid w:val="004A51FD"/>
    <w:rsid w:val="004D4FA2"/>
    <w:rsid w:val="004E2230"/>
    <w:rsid w:val="004E6D89"/>
    <w:rsid w:val="004F1C2C"/>
    <w:rsid w:val="004F683D"/>
    <w:rsid w:val="0050731A"/>
    <w:rsid w:val="00530AE4"/>
    <w:rsid w:val="005433A2"/>
    <w:rsid w:val="00550AA3"/>
    <w:rsid w:val="0055134D"/>
    <w:rsid w:val="00555FAF"/>
    <w:rsid w:val="00557F7C"/>
    <w:rsid w:val="00570E17"/>
    <w:rsid w:val="005864E5"/>
    <w:rsid w:val="00596D11"/>
    <w:rsid w:val="00597C29"/>
    <w:rsid w:val="00597E16"/>
    <w:rsid w:val="005A1267"/>
    <w:rsid w:val="005A58D7"/>
    <w:rsid w:val="005A76C1"/>
    <w:rsid w:val="005B3310"/>
    <w:rsid w:val="005C1B69"/>
    <w:rsid w:val="005C391B"/>
    <w:rsid w:val="005D45EC"/>
    <w:rsid w:val="005D6226"/>
    <w:rsid w:val="005E010C"/>
    <w:rsid w:val="005F221D"/>
    <w:rsid w:val="005F5989"/>
    <w:rsid w:val="00626AEA"/>
    <w:rsid w:val="00633874"/>
    <w:rsid w:val="00636E47"/>
    <w:rsid w:val="0064114A"/>
    <w:rsid w:val="006427CE"/>
    <w:rsid w:val="00667FC2"/>
    <w:rsid w:val="00674C69"/>
    <w:rsid w:val="00676C6B"/>
    <w:rsid w:val="0068047E"/>
    <w:rsid w:val="00682389"/>
    <w:rsid w:val="00684F36"/>
    <w:rsid w:val="00686CAC"/>
    <w:rsid w:val="006B31C4"/>
    <w:rsid w:val="006B43B0"/>
    <w:rsid w:val="006B745D"/>
    <w:rsid w:val="006C4CF5"/>
    <w:rsid w:val="006D060F"/>
    <w:rsid w:val="006D6174"/>
    <w:rsid w:val="006D6739"/>
    <w:rsid w:val="006F00D8"/>
    <w:rsid w:val="006F1822"/>
    <w:rsid w:val="0070051A"/>
    <w:rsid w:val="00701642"/>
    <w:rsid w:val="00736DC8"/>
    <w:rsid w:val="00745BE2"/>
    <w:rsid w:val="00774B9B"/>
    <w:rsid w:val="007842E4"/>
    <w:rsid w:val="00784E8C"/>
    <w:rsid w:val="00795977"/>
    <w:rsid w:val="007B2BF2"/>
    <w:rsid w:val="007D7201"/>
    <w:rsid w:val="007E4AFF"/>
    <w:rsid w:val="007E52F7"/>
    <w:rsid w:val="007E5431"/>
    <w:rsid w:val="007F1EC2"/>
    <w:rsid w:val="007F5CFE"/>
    <w:rsid w:val="00820D0C"/>
    <w:rsid w:val="00830E4F"/>
    <w:rsid w:val="008435B3"/>
    <w:rsid w:val="00855677"/>
    <w:rsid w:val="00867931"/>
    <w:rsid w:val="00872084"/>
    <w:rsid w:val="00880C57"/>
    <w:rsid w:val="00883F1E"/>
    <w:rsid w:val="00895A67"/>
    <w:rsid w:val="008969B7"/>
    <w:rsid w:val="008A65FC"/>
    <w:rsid w:val="008D1011"/>
    <w:rsid w:val="008D7CE0"/>
    <w:rsid w:val="008D7F80"/>
    <w:rsid w:val="008E200D"/>
    <w:rsid w:val="008F7FFB"/>
    <w:rsid w:val="00904188"/>
    <w:rsid w:val="0090712D"/>
    <w:rsid w:val="0094047A"/>
    <w:rsid w:val="009530A1"/>
    <w:rsid w:val="009611B2"/>
    <w:rsid w:val="009622E1"/>
    <w:rsid w:val="00987CEC"/>
    <w:rsid w:val="009A2D8B"/>
    <w:rsid w:val="009A4645"/>
    <w:rsid w:val="009E115F"/>
    <w:rsid w:val="009F1FF8"/>
    <w:rsid w:val="009F390C"/>
    <w:rsid w:val="00A06D28"/>
    <w:rsid w:val="00A13F43"/>
    <w:rsid w:val="00A25301"/>
    <w:rsid w:val="00A25740"/>
    <w:rsid w:val="00A27A74"/>
    <w:rsid w:val="00A3113D"/>
    <w:rsid w:val="00A33B3F"/>
    <w:rsid w:val="00A3783E"/>
    <w:rsid w:val="00A41EB3"/>
    <w:rsid w:val="00A51934"/>
    <w:rsid w:val="00A55D61"/>
    <w:rsid w:val="00A65F0E"/>
    <w:rsid w:val="00A668DE"/>
    <w:rsid w:val="00A7444F"/>
    <w:rsid w:val="00A804FC"/>
    <w:rsid w:val="00A85E3B"/>
    <w:rsid w:val="00A87C0C"/>
    <w:rsid w:val="00AA2032"/>
    <w:rsid w:val="00AB2322"/>
    <w:rsid w:val="00AB27F2"/>
    <w:rsid w:val="00AB5FC8"/>
    <w:rsid w:val="00AB702C"/>
    <w:rsid w:val="00AC07AB"/>
    <w:rsid w:val="00AD5E71"/>
    <w:rsid w:val="00AD6619"/>
    <w:rsid w:val="00AD70F9"/>
    <w:rsid w:val="00AF33FF"/>
    <w:rsid w:val="00AF388B"/>
    <w:rsid w:val="00B03441"/>
    <w:rsid w:val="00B0498A"/>
    <w:rsid w:val="00B22F48"/>
    <w:rsid w:val="00B25CA5"/>
    <w:rsid w:val="00B277E3"/>
    <w:rsid w:val="00B4234D"/>
    <w:rsid w:val="00B43944"/>
    <w:rsid w:val="00B47067"/>
    <w:rsid w:val="00B47351"/>
    <w:rsid w:val="00B651FF"/>
    <w:rsid w:val="00B71627"/>
    <w:rsid w:val="00B74847"/>
    <w:rsid w:val="00B94613"/>
    <w:rsid w:val="00BA0645"/>
    <w:rsid w:val="00BA07C1"/>
    <w:rsid w:val="00BB518A"/>
    <w:rsid w:val="00BD1B13"/>
    <w:rsid w:val="00BD50A6"/>
    <w:rsid w:val="00BE302C"/>
    <w:rsid w:val="00BF222B"/>
    <w:rsid w:val="00C01D67"/>
    <w:rsid w:val="00C05EF9"/>
    <w:rsid w:val="00C111E2"/>
    <w:rsid w:val="00C11697"/>
    <w:rsid w:val="00C11765"/>
    <w:rsid w:val="00C1552B"/>
    <w:rsid w:val="00C20D3D"/>
    <w:rsid w:val="00C33646"/>
    <w:rsid w:val="00C41BB6"/>
    <w:rsid w:val="00C46C38"/>
    <w:rsid w:val="00C53E8D"/>
    <w:rsid w:val="00C669AE"/>
    <w:rsid w:val="00C70B55"/>
    <w:rsid w:val="00CA5D6D"/>
    <w:rsid w:val="00CA65A1"/>
    <w:rsid w:val="00CB050A"/>
    <w:rsid w:val="00CB67F0"/>
    <w:rsid w:val="00CC0403"/>
    <w:rsid w:val="00CC33C9"/>
    <w:rsid w:val="00CC4CB3"/>
    <w:rsid w:val="00CD2052"/>
    <w:rsid w:val="00CD316B"/>
    <w:rsid w:val="00CE3A03"/>
    <w:rsid w:val="00CE3CBF"/>
    <w:rsid w:val="00CE566F"/>
    <w:rsid w:val="00D06D9D"/>
    <w:rsid w:val="00D2559D"/>
    <w:rsid w:val="00D621EE"/>
    <w:rsid w:val="00D62F51"/>
    <w:rsid w:val="00D63327"/>
    <w:rsid w:val="00D63E29"/>
    <w:rsid w:val="00D66D2E"/>
    <w:rsid w:val="00D72B07"/>
    <w:rsid w:val="00D73905"/>
    <w:rsid w:val="00D73DA1"/>
    <w:rsid w:val="00D7477A"/>
    <w:rsid w:val="00D8642D"/>
    <w:rsid w:val="00D900A3"/>
    <w:rsid w:val="00D9488A"/>
    <w:rsid w:val="00DB2AFC"/>
    <w:rsid w:val="00DB497B"/>
    <w:rsid w:val="00DB7831"/>
    <w:rsid w:val="00DB7D44"/>
    <w:rsid w:val="00DD2BCB"/>
    <w:rsid w:val="00DD5E67"/>
    <w:rsid w:val="00DE1D47"/>
    <w:rsid w:val="00DF5A89"/>
    <w:rsid w:val="00E0039E"/>
    <w:rsid w:val="00E03D49"/>
    <w:rsid w:val="00E04DF7"/>
    <w:rsid w:val="00E22365"/>
    <w:rsid w:val="00E233B0"/>
    <w:rsid w:val="00E257F4"/>
    <w:rsid w:val="00E331B5"/>
    <w:rsid w:val="00E35971"/>
    <w:rsid w:val="00E56A8D"/>
    <w:rsid w:val="00E57991"/>
    <w:rsid w:val="00E63E09"/>
    <w:rsid w:val="00E72055"/>
    <w:rsid w:val="00E85B5C"/>
    <w:rsid w:val="00EA14B5"/>
    <w:rsid w:val="00EA537E"/>
    <w:rsid w:val="00EB2CAB"/>
    <w:rsid w:val="00EC58BD"/>
    <w:rsid w:val="00ED0F0A"/>
    <w:rsid w:val="00ED76E3"/>
    <w:rsid w:val="00EE2CDE"/>
    <w:rsid w:val="00EE2F6A"/>
    <w:rsid w:val="00EE3F24"/>
    <w:rsid w:val="00EE7919"/>
    <w:rsid w:val="00EF2A56"/>
    <w:rsid w:val="00F01E65"/>
    <w:rsid w:val="00F0410C"/>
    <w:rsid w:val="00F20BFE"/>
    <w:rsid w:val="00F27BCB"/>
    <w:rsid w:val="00F32147"/>
    <w:rsid w:val="00F34B28"/>
    <w:rsid w:val="00F363DD"/>
    <w:rsid w:val="00F42C8B"/>
    <w:rsid w:val="00F50698"/>
    <w:rsid w:val="00F61B86"/>
    <w:rsid w:val="00F64A2C"/>
    <w:rsid w:val="00F73854"/>
    <w:rsid w:val="00F82EBC"/>
    <w:rsid w:val="00F90D2A"/>
    <w:rsid w:val="00FC215F"/>
    <w:rsid w:val="00FD6B79"/>
    <w:rsid w:val="00FF14A4"/>
    <w:rsid w:val="00F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DD59"/>
  <w15:chartTrackingRefBased/>
  <w15:docId w15:val="{1FF809EF-3E5E-4339-AA6B-8C7785BC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engXi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5A0"/>
    <w:rPr>
      <w:rFonts w:eastAsia="Calibri" w:cs="Calibri"/>
      <w:lang w:val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5A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15A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15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15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5A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5A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715A0"/>
    <w:rPr>
      <w:rFonts w:ascii="Calibri" w:eastAsia="Calibri" w:hAnsi="Calibri" w:cs="Calibri"/>
      <w:b/>
      <w:sz w:val="48"/>
      <w:szCs w:val="48"/>
      <w:lang w:val="en-GB" w:eastAsia="pl-PL"/>
    </w:rPr>
  </w:style>
  <w:style w:type="character" w:customStyle="1" w:styleId="Nagwek2Znak">
    <w:name w:val="Nagłówek 2 Znak"/>
    <w:link w:val="Nagwek2"/>
    <w:uiPriority w:val="9"/>
    <w:semiHidden/>
    <w:rsid w:val="000715A0"/>
    <w:rPr>
      <w:rFonts w:ascii="Calibri" w:eastAsia="Calibri" w:hAnsi="Calibri" w:cs="Calibri"/>
      <w:b/>
      <w:sz w:val="36"/>
      <w:szCs w:val="36"/>
      <w:lang w:val="en-GB" w:eastAsia="pl-PL"/>
    </w:rPr>
  </w:style>
  <w:style w:type="character" w:customStyle="1" w:styleId="Nagwek3Znak">
    <w:name w:val="Nagłówek 3 Znak"/>
    <w:link w:val="Nagwek3"/>
    <w:uiPriority w:val="9"/>
    <w:semiHidden/>
    <w:rsid w:val="000715A0"/>
    <w:rPr>
      <w:rFonts w:ascii="Calibri" w:eastAsia="Calibri" w:hAnsi="Calibri" w:cs="Calibri"/>
      <w:b/>
      <w:sz w:val="28"/>
      <w:szCs w:val="28"/>
      <w:lang w:val="en-GB" w:eastAsia="pl-PL"/>
    </w:rPr>
  </w:style>
  <w:style w:type="character" w:customStyle="1" w:styleId="Nagwek4Znak">
    <w:name w:val="Nagłówek 4 Znak"/>
    <w:link w:val="Nagwek4"/>
    <w:uiPriority w:val="9"/>
    <w:semiHidden/>
    <w:rsid w:val="000715A0"/>
    <w:rPr>
      <w:rFonts w:ascii="Calibri" w:eastAsia="Calibri" w:hAnsi="Calibri" w:cs="Calibri"/>
      <w:b/>
      <w:sz w:val="24"/>
      <w:szCs w:val="24"/>
      <w:lang w:val="en-GB" w:eastAsia="pl-PL"/>
    </w:rPr>
  </w:style>
  <w:style w:type="character" w:customStyle="1" w:styleId="Nagwek5Znak">
    <w:name w:val="Nagłówek 5 Znak"/>
    <w:link w:val="Nagwek5"/>
    <w:uiPriority w:val="9"/>
    <w:semiHidden/>
    <w:rsid w:val="000715A0"/>
    <w:rPr>
      <w:rFonts w:ascii="Calibri" w:eastAsia="Calibri" w:hAnsi="Calibri" w:cs="Calibri"/>
      <w:b/>
      <w:lang w:val="en-GB" w:eastAsia="pl-PL"/>
    </w:rPr>
  </w:style>
  <w:style w:type="character" w:customStyle="1" w:styleId="Nagwek6Znak">
    <w:name w:val="Nagłówek 6 Znak"/>
    <w:link w:val="Nagwek6"/>
    <w:uiPriority w:val="9"/>
    <w:semiHidden/>
    <w:rsid w:val="000715A0"/>
    <w:rPr>
      <w:rFonts w:ascii="Calibri" w:eastAsia="Calibri" w:hAnsi="Calibri" w:cs="Calibri"/>
      <w:b/>
      <w:sz w:val="20"/>
      <w:szCs w:val="20"/>
      <w:lang w:val="en-GB" w:eastAsia="pl-PL"/>
    </w:rPr>
  </w:style>
  <w:style w:type="table" w:customStyle="1" w:styleId="TableNormal1">
    <w:name w:val="Table Normal1"/>
    <w:rsid w:val="000715A0"/>
    <w:rPr>
      <w:rFonts w:eastAsia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715A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link w:val="Tytu"/>
    <w:uiPriority w:val="10"/>
    <w:rsid w:val="000715A0"/>
    <w:rPr>
      <w:rFonts w:ascii="Calibri" w:eastAsia="Calibri" w:hAnsi="Calibri" w:cs="Calibri"/>
      <w:b/>
      <w:sz w:val="72"/>
      <w:szCs w:val="72"/>
      <w:lang w:val="en-GB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15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11"/>
    <w:rsid w:val="000715A0"/>
    <w:rPr>
      <w:rFonts w:ascii="Georgia" w:eastAsia="Georgia" w:hAnsi="Georgia" w:cs="Georgia"/>
      <w:i/>
      <w:color w:val="666666"/>
      <w:sz w:val="48"/>
      <w:szCs w:val="48"/>
      <w:lang w:val="en-GB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15A0"/>
  </w:style>
  <w:style w:type="character" w:customStyle="1" w:styleId="TekstkomentarzaZnak">
    <w:name w:val="Tekst komentarza Znak"/>
    <w:link w:val="Tekstkomentarza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character" w:styleId="Odwoaniedokomentarza">
    <w:name w:val="annotation reference"/>
    <w:uiPriority w:val="99"/>
    <w:semiHidden/>
    <w:unhideWhenUsed/>
    <w:rsid w:val="000715A0"/>
    <w:rPr>
      <w:sz w:val="16"/>
      <w:szCs w:val="16"/>
    </w:rPr>
  </w:style>
  <w:style w:type="character" w:styleId="Hipercze">
    <w:name w:val="Hyperlink"/>
    <w:uiPriority w:val="99"/>
    <w:unhideWhenUsed/>
    <w:rsid w:val="000715A0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0715A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0715A0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0715A0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5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15A0"/>
    <w:rPr>
      <w:rFonts w:ascii="Calibri" w:eastAsia="Calibri" w:hAnsi="Calibri" w:cs="Calibri"/>
      <w:b/>
      <w:bCs/>
      <w:sz w:val="20"/>
      <w:szCs w:val="20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15A0"/>
    <w:rPr>
      <w:rFonts w:ascii="Tahoma" w:eastAsia="Calibri" w:hAnsi="Tahoma" w:cs="Tahoma"/>
      <w:sz w:val="16"/>
      <w:szCs w:val="16"/>
      <w:lang w:val="en-GB" w:eastAsia="pl-PL"/>
    </w:rPr>
  </w:style>
  <w:style w:type="character" w:customStyle="1" w:styleId="Nierozpoznanawzmianka2">
    <w:name w:val="Nierozpoznana wzmianka2"/>
    <w:uiPriority w:val="99"/>
    <w:semiHidden/>
    <w:unhideWhenUsed/>
    <w:rsid w:val="000715A0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0715A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715A0"/>
    <w:pPr>
      <w:tabs>
        <w:tab w:val="center" w:pos="4680"/>
        <w:tab w:val="right" w:pos="9360"/>
      </w:tabs>
    </w:pPr>
  </w:style>
  <w:style w:type="character" w:customStyle="1" w:styleId="NagwekZnak">
    <w:name w:val="Nagłówek Znak"/>
    <w:link w:val="Nagwek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unhideWhenUsed/>
    <w:rsid w:val="000715A0"/>
    <w:pPr>
      <w:tabs>
        <w:tab w:val="center" w:pos="4680"/>
        <w:tab w:val="right" w:pos="9360"/>
      </w:tabs>
    </w:pPr>
  </w:style>
  <w:style w:type="character" w:customStyle="1" w:styleId="StopkaZnak">
    <w:name w:val="Stopka Znak"/>
    <w:link w:val="Stopka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0715A0"/>
    <w:rPr>
      <w:rFonts w:eastAsia="Calibri" w:cs="Calibri"/>
    </w:rPr>
  </w:style>
  <w:style w:type="character" w:customStyle="1" w:styleId="Nierozpoznanawzmianka4">
    <w:name w:val="Nierozpoznana wzmianka4"/>
    <w:uiPriority w:val="99"/>
    <w:semiHidden/>
    <w:unhideWhenUsed/>
    <w:rsid w:val="000715A0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0715A0"/>
    <w:rPr>
      <w:i/>
      <w:iCs/>
    </w:rPr>
  </w:style>
  <w:style w:type="character" w:styleId="Nierozpoznanawzmianka">
    <w:name w:val="Unresolved Mention"/>
    <w:uiPriority w:val="99"/>
    <w:semiHidden/>
    <w:unhideWhenUsed/>
    <w:rsid w:val="000715A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ny"/>
    <w:link w:val="EndNoteBibliographyTitleChar"/>
    <w:rsid w:val="000715A0"/>
    <w:pPr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0715A0"/>
    <w:rPr>
      <w:rFonts w:ascii="Calibri" w:eastAsia="Calibri" w:hAnsi="Calibri" w:cs="Calibri"/>
      <w:noProof/>
      <w:sz w:val="20"/>
      <w:szCs w:val="20"/>
      <w:lang w:val="en-GB" w:eastAsia="pl-PL"/>
    </w:rPr>
  </w:style>
  <w:style w:type="paragraph" w:customStyle="1" w:styleId="EndNoteBibliography">
    <w:name w:val="EndNote Bibliography"/>
    <w:basedOn w:val="Normalny"/>
    <w:link w:val="EndNoteBibliographyChar"/>
    <w:rsid w:val="000715A0"/>
    <w:rPr>
      <w:noProof/>
    </w:rPr>
  </w:style>
  <w:style w:type="character" w:customStyle="1" w:styleId="EndNoteBibliographyChar">
    <w:name w:val="EndNote Bibliography Char"/>
    <w:link w:val="EndNoteBibliography"/>
    <w:rsid w:val="000715A0"/>
    <w:rPr>
      <w:rFonts w:ascii="Calibri" w:eastAsia="Calibri" w:hAnsi="Calibri" w:cs="Calibri"/>
      <w:noProof/>
      <w:sz w:val="20"/>
      <w:szCs w:val="20"/>
      <w:lang w:val="en-GB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715A0"/>
  </w:style>
  <w:style w:type="character" w:customStyle="1" w:styleId="TekstprzypisudolnegoZnak">
    <w:name w:val="Tekst przypisu dolnego Znak"/>
    <w:link w:val="Tekstprzypisudolnego"/>
    <w:uiPriority w:val="99"/>
    <w:rsid w:val="000715A0"/>
    <w:rPr>
      <w:rFonts w:ascii="Calibri" w:eastAsia="Calibri" w:hAnsi="Calibri" w:cs="Calibri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0715A0"/>
    <w:rPr>
      <w:vertAlign w:val="superscript"/>
    </w:rPr>
  </w:style>
  <w:style w:type="paragraph" w:customStyle="1" w:styleId="MDPI71References">
    <w:name w:val="MDPI_7.1_References"/>
    <w:qFormat/>
    <w:rsid w:val="00830E4F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Taofeek O. Muraina</dc:creator>
  <cp:keywords/>
  <dc:description/>
  <cp:lastModifiedBy>Andrzej Bobiec</cp:lastModifiedBy>
  <cp:revision>6</cp:revision>
  <dcterms:created xsi:type="dcterms:W3CDTF">2023-08-28T08:23:00Z</dcterms:created>
  <dcterms:modified xsi:type="dcterms:W3CDTF">2023-08-28T08:38:00Z</dcterms:modified>
</cp:coreProperties>
</file>